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4AB" w:rsidRPr="004F0907" w:rsidRDefault="00AA14AB" w:rsidP="00AA14AB">
      <w:pPr>
        <w:pStyle w:val="CRCoverPage"/>
        <w:tabs>
          <w:tab w:val="right" w:pos="9639"/>
        </w:tabs>
        <w:rPr>
          <w:b/>
          <w:i/>
          <w:noProof/>
          <w:sz w:val="28"/>
          <w:lang w:val="en-US"/>
        </w:rPr>
      </w:pPr>
      <w:r>
        <w:rPr>
          <w:b/>
          <w:noProof/>
          <w:sz w:val="24"/>
        </w:rPr>
        <w:t>3GPP TSG-RAN WG4 Meeting #91</w:t>
      </w:r>
      <w:r>
        <w:rPr>
          <w:b/>
          <w:i/>
          <w:noProof/>
          <w:sz w:val="24"/>
        </w:rPr>
        <w:t xml:space="preserve"> </w:t>
      </w:r>
      <w:r>
        <w:rPr>
          <w:b/>
          <w:i/>
          <w:noProof/>
          <w:sz w:val="28"/>
        </w:rPr>
        <w:tab/>
      </w:r>
      <w:r w:rsidR="006B0C55" w:rsidRPr="006B0C55">
        <w:rPr>
          <w:b/>
          <w:i/>
          <w:noProof/>
          <w:sz w:val="24"/>
        </w:rPr>
        <w:t>R4-1905716</w:t>
      </w:r>
    </w:p>
    <w:p w:rsidR="00AA14AB" w:rsidRDefault="00AA14AB" w:rsidP="00AA14AB">
      <w:pPr>
        <w:tabs>
          <w:tab w:val="left" w:pos="1985"/>
        </w:tabs>
        <w:ind w:left="1983" w:hangingChars="823" w:hanging="1983"/>
        <w:jc w:val="both"/>
        <w:rPr>
          <w:rFonts w:ascii="Arial" w:hAnsi="Arial" w:cs="Arial"/>
          <w:b/>
          <w:noProof/>
          <w:sz w:val="24"/>
        </w:rPr>
      </w:pPr>
      <w:r w:rsidRPr="00CD1BF8">
        <w:rPr>
          <w:rFonts w:ascii="Arial" w:hAnsi="Arial" w:cs="Arial"/>
          <w:b/>
          <w:noProof/>
          <w:sz w:val="24"/>
        </w:rPr>
        <w:t>Reno, US, 13th– 17th May, 2019</w:t>
      </w:r>
    </w:p>
    <w:p w:rsidR="00045A64" w:rsidRPr="00F23E24" w:rsidRDefault="00045A64" w:rsidP="00F23E24">
      <w:pPr>
        <w:tabs>
          <w:tab w:val="left" w:pos="1985"/>
        </w:tabs>
        <w:spacing w:after="12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AA14AB" w:rsidRPr="00AA14AB">
        <w:rPr>
          <w:rFonts w:ascii="Arial" w:hAnsi="Arial" w:cs="Arial"/>
          <w:b/>
          <w:sz w:val="24"/>
        </w:rPr>
        <w:t>6.2.2</w:t>
      </w:r>
    </w:p>
    <w:p w:rsidR="007F56E1" w:rsidRPr="00F23E24" w:rsidRDefault="007F56E1" w:rsidP="00F23E24">
      <w:pPr>
        <w:tabs>
          <w:tab w:val="left" w:pos="1985"/>
        </w:tabs>
        <w:spacing w:after="120"/>
        <w:ind w:left="1985" w:hanging="1985"/>
        <w:jc w:val="both"/>
        <w:rPr>
          <w:rFonts w:ascii="Arial" w:hAnsi="Arial" w:cs="Arial"/>
          <w:b/>
          <w:sz w:val="24"/>
        </w:rPr>
      </w:pPr>
      <w:r w:rsidRPr="00F23E24">
        <w:rPr>
          <w:rFonts w:ascii="Arial" w:hAnsi="Arial" w:cs="Arial"/>
          <w:b/>
          <w:sz w:val="24"/>
        </w:rPr>
        <w:t>Source:</w:t>
      </w:r>
      <w:r w:rsidRPr="00F23E24">
        <w:rPr>
          <w:rFonts w:ascii="Arial" w:hAnsi="Arial" w:cs="Arial"/>
          <w:b/>
          <w:sz w:val="24"/>
        </w:rPr>
        <w:tab/>
        <w:t>Intel Corporation</w:t>
      </w:r>
    </w:p>
    <w:p w:rsidR="007F56E1" w:rsidRPr="00F23E24" w:rsidRDefault="007F56E1" w:rsidP="00F23E24">
      <w:pPr>
        <w:tabs>
          <w:tab w:val="left" w:pos="1985"/>
        </w:tabs>
        <w:spacing w:after="120"/>
        <w:ind w:left="1983" w:hangingChars="823" w:hanging="1983"/>
        <w:jc w:val="both"/>
        <w:rPr>
          <w:rFonts w:ascii="Arial" w:hAnsi="Arial" w:cs="Arial"/>
          <w:b/>
          <w:sz w:val="24"/>
          <w:lang w:val="en-US"/>
        </w:rPr>
      </w:pPr>
      <w:r w:rsidRPr="00F23E24">
        <w:rPr>
          <w:rFonts w:ascii="Arial" w:hAnsi="Arial" w:cs="Arial"/>
          <w:b/>
          <w:sz w:val="24"/>
        </w:rPr>
        <w:t>Title:</w:t>
      </w:r>
      <w:r w:rsidRPr="00F23E24">
        <w:rPr>
          <w:rFonts w:ascii="Arial" w:hAnsi="Arial" w:cs="Arial"/>
          <w:b/>
          <w:sz w:val="24"/>
        </w:rPr>
        <w:tab/>
      </w:r>
      <w:r w:rsidR="00AA14AB" w:rsidRPr="00AA14AB">
        <w:rPr>
          <w:rFonts w:ascii="Arial" w:hAnsi="Arial" w:cs="Arial"/>
          <w:b/>
          <w:sz w:val="24"/>
        </w:rPr>
        <w:t>Discussion on SFTD measurement</w:t>
      </w:r>
    </w:p>
    <w:p w:rsidR="007F56E1" w:rsidRPr="00F23E24" w:rsidRDefault="007F56E1" w:rsidP="00F23E24">
      <w:pPr>
        <w:tabs>
          <w:tab w:val="left" w:pos="1985"/>
        </w:tabs>
        <w:spacing w:after="120"/>
        <w:ind w:left="1983" w:hangingChars="823" w:hanging="1983"/>
        <w:jc w:val="both"/>
        <w:rPr>
          <w:rFonts w:ascii="Arial" w:hAnsi="Arial" w:cs="Arial"/>
          <w:b/>
          <w:sz w:val="24"/>
        </w:rPr>
      </w:pPr>
      <w:r w:rsidRPr="00F23E24">
        <w:rPr>
          <w:rFonts w:ascii="Arial" w:hAnsi="Arial" w:cs="Arial"/>
          <w:b/>
          <w:sz w:val="24"/>
        </w:rPr>
        <w:t>Document for:</w:t>
      </w:r>
      <w:r w:rsidRPr="00F23E24">
        <w:rPr>
          <w:rFonts w:ascii="Arial" w:hAnsi="Arial" w:cs="Arial"/>
          <w:b/>
          <w:sz w:val="24"/>
        </w:rPr>
        <w:tab/>
      </w:r>
      <w:bookmarkStart w:id="1" w:name="DocumentFor"/>
      <w:bookmarkEnd w:id="1"/>
      <w:r w:rsidRPr="00F23E24">
        <w:rPr>
          <w:rFonts w:ascii="Arial" w:hAnsi="Arial" w:cs="Arial"/>
          <w:b/>
          <w:sz w:val="24"/>
        </w:rPr>
        <w:t>Discussion</w:t>
      </w:r>
    </w:p>
    <w:p w:rsidR="007F56E1" w:rsidRDefault="007F56E1" w:rsidP="007F56E1">
      <w:pPr>
        <w:pStyle w:val="Heading1"/>
        <w:ind w:left="431" w:hanging="431"/>
        <w:rPr>
          <w:szCs w:val="36"/>
          <w:lang w:val="en-CA"/>
        </w:rPr>
      </w:pPr>
      <w:r w:rsidRPr="00457F73">
        <w:rPr>
          <w:szCs w:val="36"/>
          <w:lang w:val="en-CA"/>
        </w:rPr>
        <w:t>Introduction</w:t>
      </w:r>
      <w:bookmarkStart w:id="2" w:name="OLE_LINK13"/>
      <w:bookmarkStart w:id="3" w:name="OLE_LINK14"/>
    </w:p>
    <w:p w:rsidR="00F90EFD" w:rsidRDefault="00AA14AB" w:rsidP="00F90EFD">
      <w:pPr>
        <w:rPr>
          <w:lang w:val="en-CA"/>
        </w:rPr>
      </w:pPr>
      <w:r>
        <w:rPr>
          <w:lang w:val="en-CA"/>
        </w:rPr>
        <w:t>After RAN4 #90bis</w:t>
      </w:r>
      <w:r w:rsidR="00D02A3B">
        <w:rPr>
          <w:lang w:val="en-CA"/>
        </w:rPr>
        <w:t xml:space="preserve"> meeting, </w:t>
      </w:r>
      <w:r>
        <w:rPr>
          <w:lang w:val="en-CA"/>
        </w:rPr>
        <w:t>an LS</w:t>
      </w:r>
      <w:r w:rsidR="0046623B">
        <w:rPr>
          <w:lang w:val="en-CA"/>
        </w:rPr>
        <w:t xml:space="preserve"> [1]</w:t>
      </w:r>
      <w:r>
        <w:rPr>
          <w:lang w:val="en-CA"/>
        </w:rPr>
        <w:t xml:space="preserve"> is sent to RAN4 on SFTD for NR-DC, the questions in the </w:t>
      </w:r>
      <w:r w:rsidR="00245C9E">
        <w:rPr>
          <w:lang w:val="en-CA"/>
        </w:rPr>
        <w:t>LS are</w:t>
      </w:r>
      <w:r>
        <w:rPr>
          <w:lang w:val="en-CA"/>
        </w:rPr>
        <w:t xml:space="preserve"> </w:t>
      </w:r>
      <w:r w:rsidR="00245C9E">
        <w:rPr>
          <w:lang w:val="en-CA"/>
        </w:rPr>
        <w:t>duplicated</w:t>
      </w:r>
      <w:r>
        <w:rPr>
          <w:lang w:val="en-CA"/>
        </w:rPr>
        <w:t xml:space="preserve"> as follows:</w:t>
      </w:r>
    </w:p>
    <w:tbl>
      <w:tblPr>
        <w:tblStyle w:val="TableGrid"/>
        <w:tblW w:w="0" w:type="auto"/>
        <w:tblLook w:val="04A0" w:firstRow="1" w:lastRow="0" w:firstColumn="1" w:lastColumn="0" w:noHBand="0" w:noVBand="1"/>
      </w:tblPr>
      <w:tblGrid>
        <w:gridCol w:w="9350"/>
      </w:tblGrid>
      <w:tr w:rsidR="00D82487" w:rsidTr="00D82487">
        <w:tc>
          <w:tcPr>
            <w:tcW w:w="9350" w:type="dxa"/>
          </w:tcPr>
          <w:p w:rsidR="00245C9E" w:rsidRPr="00803BF5" w:rsidRDefault="00D82487" w:rsidP="00D82487">
            <w:pPr>
              <w:spacing w:after="120"/>
              <w:rPr>
                <w:rFonts w:ascii="Arial" w:hAnsi="Arial" w:cs="Arial"/>
                <w:b/>
                <w:lang w:eastAsia="zh-CN"/>
              </w:rPr>
            </w:pPr>
            <w:r w:rsidRPr="00803BF5">
              <w:rPr>
                <w:rFonts w:ascii="Arial" w:hAnsi="Arial" w:cs="Arial"/>
                <w:b/>
                <w:lang w:eastAsia="zh-CN"/>
              </w:rPr>
              <w:t>Q1: Is there any issue in SMTC configuration and RRM measurement in NR SA when the NR SA cells are not synchronized?</w:t>
            </w:r>
          </w:p>
          <w:p w:rsidR="00D82487" w:rsidRDefault="00D82487" w:rsidP="00D82487">
            <w:pPr>
              <w:rPr>
                <w:rFonts w:ascii="Arial" w:hAnsi="Arial" w:cs="Arial"/>
                <w:b/>
                <w:lang w:eastAsia="zh-CN"/>
              </w:rPr>
            </w:pPr>
            <w:r w:rsidRPr="00803BF5">
              <w:rPr>
                <w:rFonts w:ascii="Arial" w:hAnsi="Arial" w:cs="Arial"/>
                <w:b/>
                <w:lang w:eastAsia="zh-CN"/>
              </w:rPr>
              <w:t xml:space="preserve">Q2: If the answer in Q1 is “yes”, is it feasible to introduce SFTD measurement between NR </w:t>
            </w:r>
            <w:proofErr w:type="spellStart"/>
            <w:r w:rsidRPr="00803BF5">
              <w:rPr>
                <w:rFonts w:ascii="Arial" w:hAnsi="Arial" w:cs="Arial"/>
                <w:b/>
                <w:lang w:eastAsia="zh-CN"/>
              </w:rPr>
              <w:t>PCell</w:t>
            </w:r>
            <w:proofErr w:type="spellEnd"/>
            <w:r w:rsidRPr="00803BF5">
              <w:rPr>
                <w:rFonts w:ascii="Arial" w:hAnsi="Arial" w:cs="Arial"/>
                <w:b/>
                <w:lang w:eastAsia="zh-CN"/>
              </w:rPr>
              <w:t xml:space="preserve"> and neighbouring cells for NR SA in Rel-15?</w:t>
            </w:r>
          </w:p>
          <w:p w:rsidR="00D82487" w:rsidRPr="00D82487" w:rsidRDefault="00D82487" w:rsidP="00F90EFD">
            <w:pPr>
              <w:rPr>
                <w:rFonts w:ascii="Arial" w:hAnsi="Arial" w:cs="Arial"/>
                <w:b/>
                <w:lang w:eastAsia="zh-CN"/>
              </w:rPr>
            </w:pPr>
            <w:r>
              <w:rPr>
                <w:rFonts w:ascii="Arial" w:hAnsi="Arial" w:cs="Arial"/>
                <w:b/>
                <w:lang w:eastAsia="zh-CN"/>
              </w:rPr>
              <w:t>Q3: If the answer in Q2</w:t>
            </w:r>
            <w:r w:rsidRPr="006E7404">
              <w:rPr>
                <w:rFonts w:ascii="Arial" w:hAnsi="Arial" w:cs="Arial"/>
                <w:b/>
                <w:lang w:eastAsia="zh-CN"/>
              </w:rPr>
              <w:t xml:space="preserve"> is “yes”, what would be limitations/conditions to support this </w:t>
            </w:r>
            <w:r>
              <w:rPr>
                <w:rFonts w:ascii="Arial" w:hAnsi="Arial" w:cs="Arial"/>
                <w:b/>
                <w:lang w:eastAsia="zh-CN"/>
              </w:rPr>
              <w:t>SFTD</w:t>
            </w:r>
            <w:r w:rsidRPr="006E7404">
              <w:rPr>
                <w:rFonts w:ascii="Arial" w:hAnsi="Arial" w:cs="Arial"/>
                <w:b/>
                <w:lang w:eastAsia="zh-CN"/>
              </w:rPr>
              <w:t xml:space="preserve"> measurement</w:t>
            </w:r>
            <w:r>
              <w:rPr>
                <w:rFonts w:ascii="Arial" w:hAnsi="Arial" w:cs="Arial"/>
                <w:b/>
                <w:lang w:eastAsia="zh-CN"/>
              </w:rPr>
              <w:t xml:space="preserve"> without gaps</w:t>
            </w:r>
            <w:r w:rsidRPr="006E7404">
              <w:rPr>
                <w:rFonts w:ascii="Arial" w:hAnsi="Arial" w:cs="Arial"/>
                <w:b/>
                <w:lang w:eastAsia="zh-CN"/>
              </w:rPr>
              <w:t xml:space="preserve"> (e.g. in EN-DC, this is possible only if the UE supports corresponding EN-DC band combination)?</w:t>
            </w:r>
          </w:p>
        </w:tc>
      </w:tr>
    </w:tbl>
    <w:p w:rsidR="00DD498B" w:rsidRDefault="00DD498B" w:rsidP="00CC2A6F">
      <w:pPr>
        <w:jc w:val="both"/>
        <w:rPr>
          <w:lang w:val="en-CA"/>
        </w:rPr>
      </w:pPr>
    </w:p>
    <w:p w:rsidR="00CC2A6F" w:rsidRPr="001F1EC2" w:rsidRDefault="00E67D43" w:rsidP="00CC2A6F">
      <w:pPr>
        <w:jc w:val="both"/>
        <w:rPr>
          <w:lang w:val="en-CA"/>
        </w:rPr>
      </w:pPr>
      <w:r w:rsidRPr="001F1EC2">
        <w:rPr>
          <w:lang w:val="en-CA"/>
        </w:rPr>
        <w:t>In this contribution</w:t>
      </w:r>
      <w:r w:rsidR="00F90EFD">
        <w:rPr>
          <w:lang w:val="en-CA"/>
        </w:rPr>
        <w:t>,</w:t>
      </w:r>
      <w:r w:rsidRPr="001F1EC2">
        <w:rPr>
          <w:lang w:val="en-CA"/>
        </w:rPr>
        <w:t xml:space="preserve"> we </w:t>
      </w:r>
      <w:r w:rsidR="00DD498B">
        <w:rPr>
          <w:lang w:val="en-CA"/>
        </w:rPr>
        <w:t>provide</w:t>
      </w:r>
      <w:r w:rsidRPr="001F1EC2">
        <w:rPr>
          <w:lang w:val="en-CA"/>
        </w:rPr>
        <w:t xml:space="preserve"> </w:t>
      </w:r>
      <w:r w:rsidR="00DD498B">
        <w:rPr>
          <w:lang w:val="en-CA"/>
        </w:rPr>
        <w:t>our view to the above three questions</w:t>
      </w:r>
      <w:r w:rsidR="00CC2A6F" w:rsidRPr="001F1EC2">
        <w:rPr>
          <w:lang w:val="en-CA"/>
        </w:rPr>
        <w:t>.</w:t>
      </w:r>
    </w:p>
    <w:p w:rsidR="007F56E1" w:rsidRDefault="007F56E1" w:rsidP="007F56E1">
      <w:pPr>
        <w:pStyle w:val="Heading1"/>
        <w:ind w:left="431" w:hanging="431"/>
        <w:rPr>
          <w:szCs w:val="36"/>
          <w:lang w:val="en-CA"/>
        </w:rPr>
      </w:pPr>
      <w:r>
        <w:rPr>
          <w:szCs w:val="36"/>
          <w:lang w:val="en-CA"/>
        </w:rPr>
        <w:t>Discussion</w:t>
      </w:r>
    </w:p>
    <w:p w:rsidR="00DD498B" w:rsidRDefault="00DD498B" w:rsidP="003348BC">
      <w:pPr>
        <w:spacing w:after="0"/>
        <w:jc w:val="both"/>
        <w:rPr>
          <w:lang w:val="en-CA"/>
        </w:rPr>
      </w:pPr>
      <w:r>
        <w:rPr>
          <w:lang w:val="en-CA"/>
        </w:rPr>
        <w:t>I</w:t>
      </w:r>
      <w:r w:rsidRPr="00DD498B">
        <w:rPr>
          <w:lang w:val="en-CA"/>
        </w:rPr>
        <w:t xml:space="preserve">n asynchronous </w:t>
      </w:r>
      <w:r>
        <w:rPr>
          <w:lang w:val="en-CA"/>
        </w:rPr>
        <w:t>EN-DC</w:t>
      </w:r>
      <w:r w:rsidRPr="00DD498B">
        <w:rPr>
          <w:lang w:val="en-CA"/>
        </w:rPr>
        <w:t xml:space="preserve">, when the network does not have SFTD information of neighbour cells, it cannot configure accurate SMTC in the </w:t>
      </w:r>
      <w:proofErr w:type="spellStart"/>
      <w:r w:rsidRPr="00DD498B">
        <w:rPr>
          <w:i/>
          <w:lang w:val="en-CA"/>
        </w:rPr>
        <w:t>measConfig</w:t>
      </w:r>
      <w:proofErr w:type="spellEnd"/>
      <w:r w:rsidRPr="00DD498B">
        <w:rPr>
          <w:lang w:val="en-CA"/>
        </w:rPr>
        <w:t xml:space="preserve">. As a result, UE may be unable to search for SSBs of neighbour cells. Since </w:t>
      </w:r>
      <w:r>
        <w:rPr>
          <w:lang w:val="en-CA"/>
        </w:rPr>
        <w:t xml:space="preserve">the scenario of </w:t>
      </w:r>
      <w:r w:rsidRPr="00DD498B">
        <w:rPr>
          <w:lang w:val="en-CA"/>
        </w:rPr>
        <w:t>SFTD measurement outsid</w:t>
      </w:r>
      <w:r>
        <w:rPr>
          <w:lang w:val="en-CA"/>
        </w:rPr>
        <w:t>e the SMTC occasions is allowed</w:t>
      </w:r>
      <w:r w:rsidRPr="00DD498B">
        <w:rPr>
          <w:lang w:val="en-CA"/>
        </w:rPr>
        <w:t xml:space="preserve"> for EN-DC and UE with SFTD capability can ignore SMTC offset and report the SFTD in order for the network to configure SMTC correctly, the problem can be solved in EN-DC under the condition that UE support at least one EN-DC band combination</w:t>
      </w:r>
      <w:r>
        <w:rPr>
          <w:lang w:val="en-CA"/>
        </w:rPr>
        <w:t xml:space="preserve"> [1]</w:t>
      </w:r>
      <w:r w:rsidRPr="00DD498B">
        <w:rPr>
          <w:lang w:val="en-CA"/>
        </w:rPr>
        <w:t>.</w:t>
      </w:r>
    </w:p>
    <w:p w:rsidR="007377BF" w:rsidRDefault="007377BF" w:rsidP="003348BC">
      <w:pPr>
        <w:spacing w:after="0"/>
        <w:jc w:val="both"/>
        <w:rPr>
          <w:lang w:val="en-CA"/>
        </w:rPr>
      </w:pPr>
    </w:p>
    <w:p w:rsidR="00263A8C" w:rsidRDefault="00A05D9B" w:rsidP="00263A8C">
      <w:pPr>
        <w:spacing w:after="0"/>
        <w:jc w:val="both"/>
      </w:pPr>
      <w:r>
        <w:rPr>
          <w:lang w:val="en-CA"/>
        </w:rPr>
        <w:t xml:space="preserve">From RAN2 point of view, both </w:t>
      </w:r>
      <w:r>
        <w:rPr>
          <w:lang w:val="en-CA"/>
        </w:rPr>
        <w:t xml:space="preserve">synchronous </w:t>
      </w:r>
      <w:r>
        <w:rPr>
          <w:lang w:val="en-CA"/>
        </w:rPr>
        <w:t>and a</w:t>
      </w:r>
      <w:r>
        <w:rPr>
          <w:lang w:val="en-CA"/>
        </w:rPr>
        <w:t xml:space="preserve">synchronous </w:t>
      </w:r>
      <w:r>
        <w:rPr>
          <w:lang w:val="en-CA"/>
        </w:rPr>
        <w:t>NR DC are supported. But f</w:t>
      </w:r>
      <w:r w:rsidR="00790B1D" w:rsidRPr="00D05922">
        <w:rPr>
          <w:lang w:val="en-CA"/>
        </w:rPr>
        <w:t>rom RAN4 point of view</w:t>
      </w:r>
      <w:r w:rsidR="00D05922">
        <w:rPr>
          <w:lang w:val="en-CA"/>
        </w:rPr>
        <w:t xml:space="preserve">, </w:t>
      </w:r>
      <w:r>
        <w:rPr>
          <w:lang w:val="en-CA"/>
        </w:rPr>
        <w:t xml:space="preserve">requirement is </w:t>
      </w:r>
      <w:r w:rsidR="00D05922">
        <w:rPr>
          <w:lang w:val="en-CA"/>
        </w:rPr>
        <w:t>only</w:t>
      </w:r>
      <w:r>
        <w:rPr>
          <w:lang w:val="en-CA"/>
        </w:rPr>
        <w:t xml:space="preserve"> defined for</w:t>
      </w:r>
      <w:r w:rsidR="00D05922">
        <w:rPr>
          <w:lang w:val="en-CA"/>
        </w:rPr>
        <w:t xml:space="preserve"> synchronous </w:t>
      </w:r>
      <w:r w:rsidR="00790B1D">
        <w:rPr>
          <w:lang w:val="en-CA"/>
        </w:rPr>
        <w:t>NR-DC</w:t>
      </w:r>
      <w:r w:rsidR="00D05922">
        <w:rPr>
          <w:lang w:val="en-CA"/>
        </w:rPr>
        <w:t xml:space="preserve"> in R15.  </w:t>
      </w:r>
      <w:r>
        <w:rPr>
          <w:lang w:val="en-CA"/>
        </w:rPr>
        <w:t>S</w:t>
      </w:r>
      <w:r>
        <w:rPr>
          <w:lang w:val="en-CA"/>
        </w:rPr>
        <w:t xml:space="preserve">ynchronous </w:t>
      </w:r>
      <w:r w:rsidR="00D05922" w:rsidRPr="00D05922">
        <w:rPr>
          <w:lang w:val="en-CA"/>
        </w:rPr>
        <w:t>NR-DC only requires slot boundary synchronisation</w:t>
      </w:r>
      <w:r w:rsidR="00D05922">
        <w:rPr>
          <w:lang w:val="en-CA"/>
        </w:rPr>
        <w:t xml:space="preserve"> and SFN</w:t>
      </w:r>
      <w:r>
        <w:rPr>
          <w:lang w:val="en-CA"/>
        </w:rPr>
        <w:t xml:space="preserve"> between two NR cells</w:t>
      </w:r>
      <w:r w:rsidR="00D05922">
        <w:rPr>
          <w:lang w:val="en-CA"/>
        </w:rPr>
        <w:t xml:space="preserve"> coul</w:t>
      </w:r>
      <w:r w:rsidR="008145BF">
        <w:rPr>
          <w:lang w:val="en-CA"/>
        </w:rPr>
        <w:t xml:space="preserve">d be different. </w:t>
      </w:r>
      <w:r w:rsidR="00D05922">
        <w:rPr>
          <w:lang w:val="en-CA"/>
        </w:rPr>
        <w:t xml:space="preserve"> </w:t>
      </w:r>
      <w:r w:rsidR="00916C7B">
        <w:t xml:space="preserve">If SFTD is not available, </w:t>
      </w:r>
      <w:r w:rsidR="00916C7B" w:rsidRPr="00916C7B">
        <w:t xml:space="preserve">there </w:t>
      </w:r>
      <w:r w:rsidR="00A1246C">
        <w:t>an</w:t>
      </w:r>
      <w:r w:rsidR="00916C7B" w:rsidRPr="00916C7B">
        <w:t xml:space="preserve"> issue in SMTC configuration and RRM measurement in NR SA </w:t>
      </w:r>
      <w:r>
        <w:t>no matter when</w:t>
      </w:r>
      <w:r w:rsidR="00916C7B" w:rsidRPr="00916C7B">
        <w:t xml:space="preserve"> the NR SA cells are</w:t>
      </w:r>
      <w:r>
        <w:t xml:space="preserve"> synchronized or not s</w:t>
      </w:r>
      <w:r w:rsidRPr="00916C7B">
        <w:t>ynchronized</w:t>
      </w:r>
      <w:r w:rsidR="00916C7B">
        <w:t xml:space="preserve">. </w:t>
      </w:r>
      <w:r w:rsidR="00DD498B">
        <w:t xml:space="preserve"> </w:t>
      </w:r>
      <w:bookmarkStart w:id="4" w:name="_GoBack"/>
      <w:bookmarkEnd w:id="4"/>
    </w:p>
    <w:p w:rsidR="00263A8C" w:rsidRDefault="00263A8C" w:rsidP="00263A8C">
      <w:pPr>
        <w:spacing w:after="0"/>
        <w:jc w:val="both"/>
      </w:pPr>
    </w:p>
    <w:p w:rsidR="00A1246C" w:rsidRDefault="00A1246C" w:rsidP="00263A8C">
      <w:pPr>
        <w:spacing w:after="0"/>
        <w:jc w:val="both"/>
      </w:pPr>
      <w:r>
        <w:t>There are two options for SFTD measurement in NR SA case:</w:t>
      </w:r>
    </w:p>
    <w:p w:rsidR="00A1246C" w:rsidRDefault="00A1246C" w:rsidP="00291797">
      <w:pPr>
        <w:pStyle w:val="ListParagraph"/>
        <w:numPr>
          <w:ilvl w:val="0"/>
          <w:numId w:val="23"/>
        </w:numPr>
        <w:spacing w:before="120" w:after="0"/>
        <w:jc w:val="both"/>
      </w:pPr>
      <w:r>
        <w:t xml:space="preserve">Option1: </w:t>
      </w:r>
      <w:r w:rsidR="00263A8C">
        <w:t xml:space="preserve">NW </w:t>
      </w:r>
      <w:r>
        <w:t>configure</w:t>
      </w:r>
      <w:r w:rsidR="00263A8C">
        <w:t>s</w:t>
      </w:r>
      <w:r>
        <w:t xml:space="preserve"> multiple UEs to do cell search with different SMTC offsets, as long as one UE find the target cell on the given frequency layer and NW can configure this cell as a </w:t>
      </w:r>
      <w:proofErr w:type="spellStart"/>
      <w:r>
        <w:t>PSCell</w:t>
      </w:r>
      <w:proofErr w:type="spellEnd"/>
      <w:r>
        <w:t xml:space="preserve"> to the UE. After this, NW can </w:t>
      </w:r>
      <w:r w:rsidR="00263A8C">
        <w:t>require</w:t>
      </w:r>
      <w:r>
        <w:t xml:space="preserve"> this UE to report SFTD between </w:t>
      </w:r>
      <w:proofErr w:type="spellStart"/>
      <w:r>
        <w:t>PCell</w:t>
      </w:r>
      <w:proofErr w:type="spellEnd"/>
      <w:r>
        <w:t xml:space="preserve"> and </w:t>
      </w:r>
      <w:proofErr w:type="spellStart"/>
      <w:r>
        <w:t>PSCell</w:t>
      </w:r>
      <w:proofErr w:type="spellEnd"/>
      <w:r>
        <w:t xml:space="preserve">. </w:t>
      </w:r>
    </w:p>
    <w:p w:rsidR="00A1246C" w:rsidRDefault="00A1246C" w:rsidP="00291797">
      <w:pPr>
        <w:pStyle w:val="ListParagraph"/>
        <w:numPr>
          <w:ilvl w:val="0"/>
          <w:numId w:val="24"/>
        </w:numPr>
        <w:spacing w:before="120" w:after="0"/>
        <w:jc w:val="both"/>
      </w:pPr>
      <w:r>
        <w:t xml:space="preserve">Option2: </w:t>
      </w:r>
      <w:r w:rsidR="00263A8C">
        <w:t xml:space="preserve">NW </w:t>
      </w:r>
      <w:r>
        <w:t>configure</w:t>
      </w:r>
      <w:r w:rsidR="00263A8C">
        <w:t>s</w:t>
      </w:r>
      <w:r>
        <w:t xml:space="preserve"> multiple UEs to do SFTD measurement between </w:t>
      </w:r>
      <w:proofErr w:type="spellStart"/>
      <w:r>
        <w:t>PCell</w:t>
      </w:r>
      <w:proofErr w:type="spellEnd"/>
      <w:r>
        <w:t xml:space="preserve"> and </w:t>
      </w:r>
      <w:r w:rsidR="00263A8C">
        <w:t>neighbour</w:t>
      </w:r>
      <w:r>
        <w:t xml:space="preserve"> cells. </w:t>
      </w:r>
    </w:p>
    <w:p w:rsidR="00291797" w:rsidRDefault="00291797" w:rsidP="00A1246C">
      <w:pPr>
        <w:spacing w:after="0"/>
        <w:jc w:val="both"/>
      </w:pPr>
    </w:p>
    <w:p w:rsidR="00A1246C" w:rsidRDefault="00263A8C" w:rsidP="00A1246C">
      <w:pPr>
        <w:spacing w:after="0"/>
        <w:jc w:val="both"/>
      </w:pPr>
      <w:r>
        <w:t xml:space="preserve">For option 1, measurement gap is needed for per-UE gap UEs, but performance degradation is expected on </w:t>
      </w:r>
      <w:proofErr w:type="spellStart"/>
      <w:r>
        <w:t>PCell</w:t>
      </w:r>
      <w:proofErr w:type="spellEnd"/>
      <w:r>
        <w:t xml:space="preserve"> data transmission. Measurement gap is not needed for per-FR gap UE. As compared with Option 2, the delay time for Option 1 is short.  </w:t>
      </w:r>
      <w:r w:rsidR="00291797">
        <w:t xml:space="preserve">For Option 2, </w:t>
      </w:r>
      <w:r>
        <w:t>interruption is needed for per UE gap</w:t>
      </w:r>
      <w:r w:rsidR="00291797">
        <w:t xml:space="preserve"> UE</w:t>
      </w:r>
      <w:r>
        <w:t xml:space="preserve">, </w:t>
      </w:r>
      <w:r w:rsidR="00291797">
        <w:t xml:space="preserve">but </w:t>
      </w:r>
      <w:r>
        <w:t>not needed for per-FR gap</w:t>
      </w:r>
      <w:r w:rsidR="00291797">
        <w:t xml:space="preserve"> UE.  Since </w:t>
      </w:r>
    </w:p>
    <w:p w:rsidR="00DD498B" w:rsidRDefault="003F35B3" w:rsidP="003348BC">
      <w:pPr>
        <w:spacing w:after="0"/>
        <w:jc w:val="both"/>
      </w:pPr>
      <w:r>
        <w:lastRenderedPageBreak/>
        <w:t xml:space="preserve">Based on agreements from </w:t>
      </w:r>
      <w:r w:rsidRPr="003F35B3">
        <w:t xml:space="preserve">RAN4 </w:t>
      </w:r>
      <w:r>
        <w:t xml:space="preserve">#90bis meeting, </w:t>
      </w:r>
      <w:r w:rsidRPr="003F35B3">
        <w:t xml:space="preserve">SFTD measurements between NR </w:t>
      </w:r>
      <w:proofErr w:type="spellStart"/>
      <w:r w:rsidRPr="003F35B3">
        <w:t>PCell</w:t>
      </w:r>
      <w:proofErr w:type="spellEnd"/>
      <w:r w:rsidRPr="003F35B3">
        <w:t xml:space="preserve"> in FR1 and NR </w:t>
      </w:r>
      <w:proofErr w:type="spellStart"/>
      <w:r w:rsidRPr="003F35B3">
        <w:t>PSCell</w:t>
      </w:r>
      <w:proofErr w:type="spellEnd"/>
      <w:r w:rsidRPr="003F35B3">
        <w:t xml:space="preserve"> in FR2 </w:t>
      </w:r>
      <w:r w:rsidR="00A43BA3">
        <w:t xml:space="preserve">will be introduced </w:t>
      </w:r>
      <w:r w:rsidRPr="003F35B3">
        <w:t xml:space="preserve">in Rel-15. </w:t>
      </w:r>
      <w:r w:rsidR="00291797">
        <w:t>Thus</w:t>
      </w:r>
      <w:r w:rsidR="00A43BA3">
        <w:t xml:space="preserve"> </w:t>
      </w:r>
      <w:r w:rsidR="00291797">
        <w:t xml:space="preserve">it is not necessary to introduce </w:t>
      </w:r>
      <w:r w:rsidR="00A43BA3">
        <w:t xml:space="preserve">the </w:t>
      </w:r>
      <w:r w:rsidR="00A43BA3" w:rsidRPr="00A43BA3">
        <w:t xml:space="preserve">SFTD measurement between NR </w:t>
      </w:r>
      <w:proofErr w:type="spellStart"/>
      <w:r w:rsidR="00A43BA3" w:rsidRPr="00A43BA3">
        <w:t>PCell</w:t>
      </w:r>
      <w:proofErr w:type="spellEnd"/>
      <w:r w:rsidR="00A43BA3" w:rsidRPr="00A43BA3">
        <w:t xml:space="preserve"> and neighbouring cells for NR SA </w:t>
      </w:r>
      <w:r w:rsidR="00291797">
        <w:t xml:space="preserve">in Rel-15. Furthermore, </w:t>
      </w:r>
      <w:r w:rsidR="00A43BA3" w:rsidRPr="00A43BA3">
        <w:t xml:space="preserve">due to work load in </w:t>
      </w:r>
      <w:r w:rsidR="00A43BA3">
        <w:t xml:space="preserve">currently </w:t>
      </w:r>
      <w:r w:rsidR="00A43BA3" w:rsidRPr="00A43BA3">
        <w:t>RAN4</w:t>
      </w:r>
      <w:r w:rsidR="00A43BA3">
        <w:t xml:space="preserve"> meeting</w:t>
      </w:r>
      <w:r w:rsidR="00291797">
        <w:t>,</w:t>
      </w:r>
      <w:r w:rsidR="00A43BA3" w:rsidRPr="00A43BA3">
        <w:t xml:space="preserve"> </w:t>
      </w:r>
      <w:r w:rsidR="00291797">
        <w:t>w</w:t>
      </w:r>
      <w:r w:rsidR="00A43BA3">
        <w:t xml:space="preserve">e suggest </w:t>
      </w:r>
      <w:r w:rsidR="00291797">
        <w:t xml:space="preserve">keeping the current agreement as it is unless there is significant benefit </w:t>
      </w:r>
      <w:r w:rsidR="00FB202F">
        <w:t xml:space="preserve">be observed. </w:t>
      </w:r>
    </w:p>
    <w:p w:rsidR="00FB202F" w:rsidRDefault="00FB202F" w:rsidP="003348BC">
      <w:pPr>
        <w:spacing w:after="0"/>
        <w:jc w:val="both"/>
      </w:pPr>
    </w:p>
    <w:p w:rsidR="00FB202F" w:rsidRDefault="00FB202F" w:rsidP="00FB202F">
      <w:pPr>
        <w:spacing w:after="0"/>
        <w:jc w:val="both"/>
        <w:rPr>
          <w:b/>
          <w:i/>
        </w:rPr>
      </w:pPr>
      <w:r w:rsidRPr="008729B6">
        <w:rPr>
          <w:b/>
          <w:i/>
        </w:rPr>
        <w:t xml:space="preserve">Proposal </w:t>
      </w:r>
      <w:r>
        <w:rPr>
          <w:b/>
          <w:i/>
        </w:rPr>
        <w:t>1</w:t>
      </w:r>
      <w:r w:rsidRPr="008729B6">
        <w:rPr>
          <w:b/>
          <w:i/>
        </w:rPr>
        <w:t xml:space="preserve">: </w:t>
      </w:r>
      <w:r>
        <w:rPr>
          <w:b/>
          <w:i/>
        </w:rPr>
        <w:t xml:space="preserve">Given that </w:t>
      </w:r>
      <w:r w:rsidRPr="00FB202F">
        <w:rPr>
          <w:b/>
          <w:i/>
        </w:rPr>
        <w:t xml:space="preserve">SFTD measurements between NR </w:t>
      </w:r>
      <w:proofErr w:type="spellStart"/>
      <w:r w:rsidRPr="00FB202F">
        <w:rPr>
          <w:b/>
          <w:i/>
        </w:rPr>
        <w:t>PCell</w:t>
      </w:r>
      <w:proofErr w:type="spellEnd"/>
      <w:r w:rsidRPr="00FB202F">
        <w:rPr>
          <w:b/>
          <w:i/>
        </w:rPr>
        <w:t xml:space="preserve"> in FR1 and NR </w:t>
      </w:r>
      <w:proofErr w:type="spellStart"/>
      <w:r w:rsidRPr="00FB202F">
        <w:rPr>
          <w:b/>
          <w:i/>
        </w:rPr>
        <w:t>PSCell</w:t>
      </w:r>
      <w:proofErr w:type="spellEnd"/>
      <w:r w:rsidRPr="00FB202F">
        <w:rPr>
          <w:b/>
          <w:i/>
        </w:rPr>
        <w:t xml:space="preserve"> in FR2 will be introduced in Rel-15</w:t>
      </w:r>
      <w:r>
        <w:rPr>
          <w:b/>
          <w:i/>
        </w:rPr>
        <w:t xml:space="preserve">, it is not recommend to </w:t>
      </w:r>
      <w:r w:rsidRPr="00FB202F">
        <w:rPr>
          <w:b/>
          <w:i/>
        </w:rPr>
        <w:t xml:space="preserve">introduce SFTD measurement between NR </w:t>
      </w:r>
      <w:proofErr w:type="spellStart"/>
      <w:r w:rsidRPr="00FB202F">
        <w:rPr>
          <w:b/>
          <w:i/>
        </w:rPr>
        <w:t>PCell</w:t>
      </w:r>
      <w:proofErr w:type="spellEnd"/>
      <w:r w:rsidRPr="00FB202F">
        <w:rPr>
          <w:b/>
          <w:i/>
        </w:rPr>
        <w:t xml:space="preserve"> and neighbouring cells for NR SA in Rel-15</w:t>
      </w:r>
      <w:r w:rsidRPr="008729B6">
        <w:rPr>
          <w:b/>
          <w:i/>
        </w:rPr>
        <w:t>.</w:t>
      </w:r>
    </w:p>
    <w:p w:rsidR="00FB202F" w:rsidRPr="00BC7D1F" w:rsidRDefault="00FB202F" w:rsidP="003348BC">
      <w:pPr>
        <w:spacing w:after="0"/>
        <w:jc w:val="both"/>
      </w:pPr>
    </w:p>
    <w:p w:rsidR="007F56E1" w:rsidRDefault="007F56E1" w:rsidP="007F56E1">
      <w:pPr>
        <w:pStyle w:val="Heading1"/>
        <w:rPr>
          <w:lang w:val="en-CA"/>
        </w:rPr>
      </w:pPr>
      <w:r>
        <w:rPr>
          <w:lang w:val="en-CA"/>
        </w:rPr>
        <w:t>Summary and Conclusions</w:t>
      </w:r>
    </w:p>
    <w:p w:rsidR="007F56E1" w:rsidRDefault="00A253A6" w:rsidP="007F56E1">
      <w:pPr>
        <w:rPr>
          <w:lang w:val="en-CA"/>
        </w:rPr>
      </w:pPr>
      <w:r>
        <w:rPr>
          <w:lang w:val="en-US"/>
        </w:rPr>
        <w:t>This</w:t>
      </w:r>
      <w:r>
        <w:rPr>
          <w:rFonts w:hint="eastAsia"/>
          <w:lang w:val="en-US"/>
        </w:rPr>
        <w:t xml:space="preserve"> contribution</w:t>
      </w:r>
      <w:r>
        <w:rPr>
          <w:lang w:val="en-US"/>
        </w:rPr>
        <w:t xml:space="preserve"> discusses</w:t>
      </w:r>
      <w:r w:rsidR="00BE288E">
        <w:rPr>
          <w:rFonts w:hint="eastAsia"/>
          <w:lang w:val="en-US"/>
        </w:rPr>
        <w:t xml:space="preserve"> </w:t>
      </w:r>
      <w:r w:rsidR="00F72FD6">
        <w:rPr>
          <w:lang w:val="en-US"/>
        </w:rPr>
        <w:t xml:space="preserve">the </w:t>
      </w:r>
      <w:r w:rsidR="00FB202F">
        <w:rPr>
          <w:lang w:val="en-US"/>
        </w:rPr>
        <w:t xml:space="preserve">feasibility of introducing </w:t>
      </w:r>
      <w:r w:rsidR="00FB202F" w:rsidRPr="00FB202F">
        <w:rPr>
          <w:lang w:val="en-US"/>
        </w:rPr>
        <w:t xml:space="preserve">SFTD measurement between NR </w:t>
      </w:r>
      <w:proofErr w:type="spellStart"/>
      <w:r w:rsidR="00FB202F" w:rsidRPr="00FB202F">
        <w:rPr>
          <w:lang w:val="en-US"/>
        </w:rPr>
        <w:t>PCell</w:t>
      </w:r>
      <w:proofErr w:type="spellEnd"/>
      <w:r w:rsidR="00FB202F" w:rsidRPr="00FB202F">
        <w:rPr>
          <w:lang w:val="en-US"/>
        </w:rPr>
        <w:t xml:space="preserve"> and </w:t>
      </w:r>
      <w:proofErr w:type="spellStart"/>
      <w:r w:rsidR="00FB202F" w:rsidRPr="00FB202F">
        <w:rPr>
          <w:lang w:val="en-US"/>
        </w:rPr>
        <w:t>neighbouring</w:t>
      </w:r>
      <w:proofErr w:type="spellEnd"/>
      <w:r w:rsidR="00FB202F" w:rsidRPr="00FB202F">
        <w:rPr>
          <w:lang w:val="en-US"/>
        </w:rPr>
        <w:t xml:space="preserve"> cells for NR SA in Rel-15</w:t>
      </w:r>
      <w:r w:rsidR="00F63768">
        <w:rPr>
          <w:lang w:val="en-CA"/>
        </w:rPr>
        <w:t>. The conclusions are drawn as follows</w:t>
      </w:r>
      <w:r w:rsidR="007F56E1" w:rsidRPr="000362F4">
        <w:rPr>
          <w:lang w:val="en-CA"/>
        </w:rPr>
        <w:t>:</w:t>
      </w:r>
    </w:p>
    <w:p w:rsidR="00FB202F" w:rsidRDefault="00FB202F" w:rsidP="00FB202F">
      <w:pPr>
        <w:spacing w:after="0"/>
        <w:jc w:val="both"/>
        <w:rPr>
          <w:b/>
          <w:i/>
        </w:rPr>
      </w:pPr>
      <w:r w:rsidRPr="008729B6">
        <w:rPr>
          <w:b/>
          <w:i/>
        </w:rPr>
        <w:t xml:space="preserve">Proposal </w:t>
      </w:r>
      <w:r>
        <w:rPr>
          <w:b/>
          <w:i/>
        </w:rPr>
        <w:t>1</w:t>
      </w:r>
      <w:r w:rsidRPr="008729B6">
        <w:rPr>
          <w:b/>
          <w:i/>
        </w:rPr>
        <w:t xml:space="preserve">: </w:t>
      </w:r>
      <w:r>
        <w:rPr>
          <w:b/>
          <w:i/>
        </w:rPr>
        <w:t xml:space="preserve">Given that </w:t>
      </w:r>
      <w:r w:rsidRPr="00FB202F">
        <w:rPr>
          <w:b/>
          <w:i/>
        </w:rPr>
        <w:t xml:space="preserve">SFTD measurements between NR </w:t>
      </w:r>
      <w:proofErr w:type="spellStart"/>
      <w:r w:rsidRPr="00FB202F">
        <w:rPr>
          <w:b/>
          <w:i/>
        </w:rPr>
        <w:t>PCell</w:t>
      </w:r>
      <w:proofErr w:type="spellEnd"/>
      <w:r w:rsidRPr="00FB202F">
        <w:rPr>
          <w:b/>
          <w:i/>
        </w:rPr>
        <w:t xml:space="preserve"> in FR1 and NR </w:t>
      </w:r>
      <w:proofErr w:type="spellStart"/>
      <w:r w:rsidRPr="00FB202F">
        <w:rPr>
          <w:b/>
          <w:i/>
        </w:rPr>
        <w:t>PSCell</w:t>
      </w:r>
      <w:proofErr w:type="spellEnd"/>
      <w:r w:rsidRPr="00FB202F">
        <w:rPr>
          <w:b/>
          <w:i/>
        </w:rPr>
        <w:t xml:space="preserve"> in FR2 will be introduced in Rel-15</w:t>
      </w:r>
      <w:r>
        <w:rPr>
          <w:b/>
          <w:i/>
        </w:rPr>
        <w:t xml:space="preserve">, it is not recommend to </w:t>
      </w:r>
      <w:r w:rsidRPr="00FB202F">
        <w:rPr>
          <w:b/>
          <w:i/>
        </w:rPr>
        <w:t xml:space="preserve">introduce SFTD measurement between NR </w:t>
      </w:r>
      <w:proofErr w:type="spellStart"/>
      <w:r w:rsidRPr="00FB202F">
        <w:rPr>
          <w:b/>
          <w:i/>
        </w:rPr>
        <w:t>PCell</w:t>
      </w:r>
      <w:proofErr w:type="spellEnd"/>
      <w:r w:rsidRPr="00FB202F">
        <w:rPr>
          <w:b/>
          <w:i/>
        </w:rPr>
        <w:t xml:space="preserve"> and neighbouring cells for NR SA in Rel-15</w:t>
      </w:r>
      <w:r w:rsidRPr="008729B6">
        <w:rPr>
          <w:b/>
          <w:i/>
        </w:rPr>
        <w:t>.</w:t>
      </w:r>
    </w:p>
    <w:p w:rsidR="00E1283A" w:rsidRPr="00BE288E" w:rsidRDefault="00E1283A" w:rsidP="00F63768">
      <w:pPr>
        <w:spacing w:after="0"/>
      </w:pPr>
    </w:p>
    <w:p w:rsidR="007F56E1" w:rsidRPr="00457F73" w:rsidRDefault="007F56E1" w:rsidP="007F56E1">
      <w:pPr>
        <w:pStyle w:val="Heading1"/>
        <w:pBdr>
          <w:top w:val="single" w:sz="12" w:space="2" w:color="auto"/>
        </w:pBdr>
        <w:rPr>
          <w:sz w:val="32"/>
          <w:lang w:val="en-CA"/>
        </w:rPr>
      </w:pPr>
      <w:r w:rsidRPr="00457F73">
        <w:rPr>
          <w:sz w:val="32"/>
          <w:lang w:val="en-CA"/>
        </w:rPr>
        <w:t>References</w:t>
      </w:r>
      <w:bookmarkEnd w:id="2"/>
      <w:bookmarkEnd w:id="3"/>
    </w:p>
    <w:p w:rsidR="00A969A3" w:rsidRPr="00D05922" w:rsidRDefault="00444EF1" w:rsidP="00444EF1">
      <w:pPr>
        <w:numPr>
          <w:ilvl w:val="0"/>
          <w:numId w:val="1"/>
        </w:numPr>
        <w:tabs>
          <w:tab w:val="left" w:pos="851"/>
        </w:tabs>
        <w:spacing w:after="120"/>
        <w:rPr>
          <w:rFonts w:eastAsiaTheme="minorEastAsia"/>
          <w:lang w:eastAsia="ja-JP"/>
        </w:rPr>
      </w:pPr>
      <w:bookmarkStart w:id="5" w:name="_Ref498420781"/>
      <w:bookmarkStart w:id="6" w:name="_Ref485387765"/>
      <w:bookmarkStart w:id="7" w:name="_Ref481738953"/>
      <w:bookmarkStart w:id="8" w:name="_Ref505958098"/>
      <w:r w:rsidRPr="00444EF1">
        <w:t>R2-1905453</w:t>
      </w:r>
      <w:r w:rsidR="00A969A3" w:rsidRPr="004D281F">
        <w:rPr>
          <w:rFonts w:eastAsiaTheme="minorEastAsia" w:hint="eastAsia"/>
          <w:lang w:eastAsia="ja-JP"/>
        </w:rPr>
        <w:t xml:space="preserve">, </w:t>
      </w:r>
      <w:r w:rsidR="00A969A3" w:rsidRPr="004D281F">
        <w:rPr>
          <w:rFonts w:eastAsiaTheme="minorEastAsia"/>
          <w:lang w:eastAsia="ja-JP"/>
        </w:rPr>
        <w:t>“</w:t>
      </w:r>
      <w:r w:rsidRPr="00444EF1">
        <w:rPr>
          <w:rFonts w:eastAsiaTheme="minorEastAsia"/>
          <w:lang w:eastAsia="ja-JP"/>
        </w:rPr>
        <w:t>LS on SFTD measurement</w:t>
      </w:r>
      <w:r w:rsidR="00A969A3" w:rsidRPr="004D281F">
        <w:rPr>
          <w:rFonts w:eastAsiaTheme="minorEastAsia"/>
          <w:lang w:eastAsia="ja-JP"/>
        </w:rPr>
        <w:t xml:space="preserve">”, </w:t>
      </w:r>
      <w:r>
        <w:rPr>
          <w:rFonts w:eastAsiaTheme="minorEastAsia"/>
          <w:lang w:eastAsia="ja-JP"/>
        </w:rPr>
        <w:t>Huawei</w:t>
      </w:r>
      <w:r w:rsidR="008729B6">
        <w:rPr>
          <w:rFonts w:eastAsiaTheme="minorEastAsia"/>
          <w:lang w:eastAsia="ja-JP"/>
        </w:rPr>
        <w:t xml:space="preserve">, </w:t>
      </w:r>
      <w:r>
        <w:rPr>
          <w:lang w:val="en-CA"/>
        </w:rPr>
        <w:t>RAN2 meeting #105bi</w:t>
      </w:r>
      <w:r w:rsidR="008729B6">
        <w:rPr>
          <w:lang w:val="en-CA"/>
        </w:rPr>
        <w:t>s</w:t>
      </w:r>
    </w:p>
    <w:p w:rsidR="00D05922" w:rsidRPr="004D281F" w:rsidRDefault="00D05922" w:rsidP="00D05922">
      <w:pPr>
        <w:numPr>
          <w:ilvl w:val="0"/>
          <w:numId w:val="1"/>
        </w:numPr>
        <w:tabs>
          <w:tab w:val="left" w:pos="851"/>
        </w:tabs>
        <w:spacing w:after="120"/>
        <w:rPr>
          <w:rFonts w:eastAsiaTheme="minorEastAsia"/>
          <w:lang w:eastAsia="ja-JP"/>
        </w:rPr>
      </w:pPr>
      <w:r w:rsidRPr="00D05922">
        <w:rPr>
          <w:rFonts w:eastAsiaTheme="minorEastAsia"/>
          <w:lang w:eastAsia="ja-JP"/>
        </w:rPr>
        <w:t>RP-190771</w:t>
      </w:r>
      <w:r>
        <w:rPr>
          <w:rFonts w:eastAsiaTheme="minorEastAsia"/>
          <w:lang w:eastAsia="ja-JP"/>
        </w:rPr>
        <w:t>, “</w:t>
      </w:r>
      <w:r w:rsidRPr="00D05922">
        <w:rPr>
          <w:rFonts w:eastAsiaTheme="minorEastAsia"/>
          <w:lang w:eastAsia="ja-JP"/>
        </w:rPr>
        <w:t>Rel-15 Work Item Exception for New Radio Access Technology - Core</w:t>
      </w:r>
      <w:r>
        <w:rPr>
          <w:rFonts w:eastAsiaTheme="minorEastAsia"/>
          <w:lang w:eastAsia="ja-JP"/>
        </w:rPr>
        <w:t xml:space="preserve">”, </w:t>
      </w:r>
      <w:r w:rsidRPr="00D05922">
        <w:rPr>
          <w:rFonts w:eastAsiaTheme="minorEastAsia"/>
          <w:lang w:eastAsia="ja-JP"/>
        </w:rPr>
        <w:t>NTT DOCOMO</w:t>
      </w:r>
      <w:r>
        <w:rPr>
          <w:rFonts w:eastAsiaTheme="minorEastAsia"/>
          <w:lang w:eastAsia="ja-JP"/>
        </w:rPr>
        <w:t xml:space="preserve">, </w:t>
      </w:r>
      <w:r>
        <w:rPr>
          <w:lang w:val="en-CA"/>
        </w:rPr>
        <w:t>RAN</w:t>
      </w:r>
      <w:r>
        <w:rPr>
          <w:lang w:val="en-CA"/>
        </w:rPr>
        <w:t xml:space="preserve"> meeting #</w:t>
      </w:r>
      <w:r>
        <w:rPr>
          <w:lang w:val="en-CA"/>
        </w:rPr>
        <w:t>83</w:t>
      </w:r>
    </w:p>
    <w:bookmarkEnd w:id="5"/>
    <w:bookmarkEnd w:id="6"/>
    <w:bookmarkEnd w:id="7"/>
    <w:bookmarkEnd w:id="8"/>
    <w:p w:rsidR="00A969A3" w:rsidRPr="004D281F" w:rsidRDefault="00A969A3" w:rsidP="00444EF1">
      <w:pPr>
        <w:tabs>
          <w:tab w:val="left" w:pos="851"/>
        </w:tabs>
        <w:spacing w:after="120"/>
        <w:ind w:left="360"/>
        <w:rPr>
          <w:lang w:val="en-CA"/>
        </w:rPr>
      </w:pPr>
    </w:p>
    <w:sectPr w:rsidR="00A969A3" w:rsidRPr="004D2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B974B66"/>
    <w:multiLevelType w:val="hybridMultilevel"/>
    <w:tmpl w:val="74D82228"/>
    <w:lvl w:ilvl="0" w:tplc="88C21338">
      <w:start w:val="1"/>
      <w:numFmt w:val="bullet"/>
      <w:lvlText w:val="•"/>
      <w:lvlJc w:val="left"/>
      <w:pPr>
        <w:ind w:left="720" w:hanging="360"/>
      </w:pPr>
      <w:rPr>
        <w:rFonts w:ascii="Arial" w:hAnsi="Arial" w:hint="default"/>
      </w:rPr>
    </w:lvl>
    <w:lvl w:ilvl="1" w:tplc="D7381584">
      <w:start w:val="2017"/>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6A56"/>
    <w:multiLevelType w:val="hybridMultilevel"/>
    <w:tmpl w:val="8124C1DA"/>
    <w:lvl w:ilvl="0" w:tplc="88C2133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015CD"/>
    <w:multiLevelType w:val="hybridMultilevel"/>
    <w:tmpl w:val="1A849E34"/>
    <w:lvl w:ilvl="0" w:tplc="25F0D8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9141D"/>
    <w:multiLevelType w:val="hybridMultilevel"/>
    <w:tmpl w:val="8B8C14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797152C"/>
    <w:multiLevelType w:val="hybridMultilevel"/>
    <w:tmpl w:val="CDEE98AA"/>
    <w:lvl w:ilvl="0" w:tplc="8E76E818">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FC04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3141E"/>
    <w:multiLevelType w:val="hybridMultilevel"/>
    <w:tmpl w:val="CCCEB5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80E05"/>
    <w:multiLevelType w:val="hybridMultilevel"/>
    <w:tmpl w:val="0DA4BDC6"/>
    <w:lvl w:ilvl="0" w:tplc="25F0D8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F75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1D13C10"/>
    <w:multiLevelType w:val="hybridMultilevel"/>
    <w:tmpl w:val="66622C26"/>
    <w:lvl w:ilvl="0" w:tplc="4692B7A2">
      <w:start w:val="2"/>
      <w:numFmt w:val="bullet"/>
      <w:lvlText w:val=""/>
      <w:lvlJc w:val="left"/>
      <w:pPr>
        <w:ind w:left="1080" w:hanging="360"/>
      </w:pPr>
      <w:rPr>
        <w:rFonts w:ascii="Wingdings" w:eastAsiaTheme="minorEastAsia" w:hAnsi="Wingdings"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445002EE"/>
    <w:multiLevelType w:val="hybridMultilevel"/>
    <w:tmpl w:val="17A80CA6"/>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4FD2025B"/>
    <w:multiLevelType w:val="hybridMultilevel"/>
    <w:tmpl w:val="1C1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D90A3C"/>
    <w:multiLevelType w:val="hybridMultilevel"/>
    <w:tmpl w:val="8256B370"/>
    <w:lvl w:ilvl="0" w:tplc="F6DE3358">
      <w:numFmt w:val="bullet"/>
      <w:lvlText w:val="-"/>
      <w:lvlJc w:val="left"/>
      <w:pPr>
        <w:ind w:left="766" w:hanging="360"/>
      </w:pPr>
      <w:rPr>
        <w:rFonts w:ascii="Times New Roman" w:eastAsia="MS Mincho"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5AA64DEA"/>
    <w:multiLevelType w:val="hybridMultilevel"/>
    <w:tmpl w:val="AF5045E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4F97AA1"/>
    <w:multiLevelType w:val="hybridMultilevel"/>
    <w:tmpl w:val="70606FB6"/>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05403"/>
    <w:multiLevelType w:val="hybridMultilevel"/>
    <w:tmpl w:val="7E528B94"/>
    <w:lvl w:ilvl="0" w:tplc="88C2133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227EC"/>
    <w:multiLevelType w:val="hybridMultilevel"/>
    <w:tmpl w:val="88A20E28"/>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D3117A"/>
    <w:multiLevelType w:val="hybridMultilevel"/>
    <w:tmpl w:val="4ADA01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13"/>
  </w:num>
  <w:num w:numId="4">
    <w:abstractNumId w:val="8"/>
  </w:num>
  <w:num w:numId="5">
    <w:abstractNumId w:val="18"/>
  </w:num>
  <w:num w:numId="6">
    <w:abstractNumId w:val="11"/>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1"/>
  </w:num>
  <w:num w:numId="11">
    <w:abstractNumId w:val="19"/>
  </w:num>
  <w:num w:numId="12">
    <w:abstractNumId w:val="21"/>
  </w:num>
  <w:num w:numId="13">
    <w:abstractNumId w:val="9"/>
  </w:num>
  <w:num w:numId="14">
    <w:abstractNumId w:val="11"/>
  </w:num>
  <w:num w:numId="15">
    <w:abstractNumId w:val="20"/>
  </w:num>
  <w:num w:numId="16">
    <w:abstractNumId w:val="2"/>
  </w:num>
  <w:num w:numId="17">
    <w:abstractNumId w:val="5"/>
  </w:num>
  <w:num w:numId="18">
    <w:abstractNumId w:val="10"/>
  </w:num>
  <w:num w:numId="19">
    <w:abstractNumId w:val="4"/>
  </w:num>
  <w:num w:numId="20">
    <w:abstractNumId w:val="7"/>
  </w:num>
  <w:num w:numId="21">
    <w:abstractNumId w:val="11"/>
  </w:num>
  <w:num w:numId="22">
    <w:abstractNumId w:val="6"/>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6E1"/>
    <w:rsid w:val="000074DA"/>
    <w:rsid w:val="00014FE4"/>
    <w:rsid w:val="00017FF1"/>
    <w:rsid w:val="00024CEF"/>
    <w:rsid w:val="00045A64"/>
    <w:rsid w:val="00054DA0"/>
    <w:rsid w:val="000569C0"/>
    <w:rsid w:val="00086E34"/>
    <w:rsid w:val="000E267B"/>
    <w:rsid w:val="000E4BD7"/>
    <w:rsid w:val="000E5B4C"/>
    <w:rsid w:val="001232D3"/>
    <w:rsid w:val="00130B51"/>
    <w:rsid w:val="00154606"/>
    <w:rsid w:val="001618F2"/>
    <w:rsid w:val="00181568"/>
    <w:rsid w:val="0018389E"/>
    <w:rsid w:val="0018577F"/>
    <w:rsid w:val="00195BF6"/>
    <w:rsid w:val="001C0051"/>
    <w:rsid w:val="001D4EA1"/>
    <w:rsid w:val="001E79B9"/>
    <w:rsid w:val="001F102B"/>
    <w:rsid w:val="001F1EC2"/>
    <w:rsid w:val="00207C49"/>
    <w:rsid w:val="00213293"/>
    <w:rsid w:val="00245C9E"/>
    <w:rsid w:val="002515C6"/>
    <w:rsid w:val="00263A8C"/>
    <w:rsid w:val="00270229"/>
    <w:rsid w:val="002704F7"/>
    <w:rsid w:val="00286484"/>
    <w:rsid w:val="00291797"/>
    <w:rsid w:val="002A050C"/>
    <w:rsid w:val="00312D09"/>
    <w:rsid w:val="003348BC"/>
    <w:rsid w:val="003652BF"/>
    <w:rsid w:val="003812E7"/>
    <w:rsid w:val="00381E97"/>
    <w:rsid w:val="003A0C28"/>
    <w:rsid w:val="003E32AF"/>
    <w:rsid w:val="003F35B3"/>
    <w:rsid w:val="00405EBA"/>
    <w:rsid w:val="0040630F"/>
    <w:rsid w:val="004126E0"/>
    <w:rsid w:val="0044416E"/>
    <w:rsid w:val="00444EF1"/>
    <w:rsid w:val="0046623B"/>
    <w:rsid w:val="004933F3"/>
    <w:rsid w:val="004D281F"/>
    <w:rsid w:val="00501638"/>
    <w:rsid w:val="00537CE5"/>
    <w:rsid w:val="00543E27"/>
    <w:rsid w:val="005545C1"/>
    <w:rsid w:val="00555266"/>
    <w:rsid w:val="00556232"/>
    <w:rsid w:val="0057260C"/>
    <w:rsid w:val="0058377E"/>
    <w:rsid w:val="005A353E"/>
    <w:rsid w:val="005A5B2C"/>
    <w:rsid w:val="005D4201"/>
    <w:rsid w:val="00605579"/>
    <w:rsid w:val="006566E9"/>
    <w:rsid w:val="0068056A"/>
    <w:rsid w:val="006A30B0"/>
    <w:rsid w:val="006B0C55"/>
    <w:rsid w:val="006B270F"/>
    <w:rsid w:val="006D610C"/>
    <w:rsid w:val="00713983"/>
    <w:rsid w:val="007310B6"/>
    <w:rsid w:val="00731D1B"/>
    <w:rsid w:val="007377BF"/>
    <w:rsid w:val="00754C5E"/>
    <w:rsid w:val="0076153F"/>
    <w:rsid w:val="00762DD9"/>
    <w:rsid w:val="00773B5F"/>
    <w:rsid w:val="00785FEC"/>
    <w:rsid w:val="00790B1D"/>
    <w:rsid w:val="007A5AE4"/>
    <w:rsid w:val="007A78DC"/>
    <w:rsid w:val="007B2F78"/>
    <w:rsid w:val="007C6335"/>
    <w:rsid w:val="007F56E1"/>
    <w:rsid w:val="008005F3"/>
    <w:rsid w:val="00811A33"/>
    <w:rsid w:val="008145BF"/>
    <w:rsid w:val="00864403"/>
    <w:rsid w:val="008729B6"/>
    <w:rsid w:val="00882941"/>
    <w:rsid w:val="00896D62"/>
    <w:rsid w:val="008D047B"/>
    <w:rsid w:val="008F5B94"/>
    <w:rsid w:val="00912D68"/>
    <w:rsid w:val="00914172"/>
    <w:rsid w:val="00916C7B"/>
    <w:rsid w:val="009951CA"/>
    <w:rsid w:val="009A314B"/>
    <w:rsid w:val="009B4B0B"/>
    <w:rsid w:val="009E5822"/>
    <w:rsid w:val="00A0152E"/>
    <w:rsid w:val="00A01992"/>
    <w:rsid w:val="00A05D9B"/>
    <w:rsid w:val="00A1246C"/>
    <w:rsid w:val="00A243E6"/>
    <w:rsid w:val="00A253A6"/>
    <w:rsid w:val="00A37876"/>
    <w:rsid w:val="00A43BA3"/>
    <w:rsid w:val="00A43F1C"/>
    <w:rsid w:val="00A84B89"/>
    <w:rsid w:val="00A969A3"/>
    <w:rsid w:val="00AA14AB"/>
    <w:rsid w:val="00AA1B65"/>
    <w:rsid w:val="00B30DE2"/>
    <w:rsid w:val="00B31136"/>
    <w:rsid w:val="00B66636"/>
    <w:rsid w:val="00B73CC9"/>
    <w:rsid w:val="00B75383"/>
    <w:rsid w:val="00BA1BE9"/>
    <w:rsid w:val="00BA3B2F"/>
    <w:rsid w:val="00BB3135"/>
    <w:rsid w:val="00BB3309"/>
    <w:rsid w:val="00BC7D1F"/>
    <w:rsid w:val="00BD1E95"/>
    <w:rsid w:val="00BE288E"/>
    <w:rsid w:val="00BE35C7"/>
    <w:rsid w:val="00BF649F"/>
    <w:rsid w:val="00C207F3"/>
    <w:rsid w:val="00C756CC"/>
    <w:rsid w:val="00C84EE3"/>
    <w:rsid w:val="00CA1F6D"/>
    <w:rsid w:val="00CA7D9D"/>
    <w:rsid w:val="00CC2A6F"/>
    <w:rsid w:val="00CC327B"/>
    <w:rsid w:val="00CD1E80"/>
    <w:rsid w:val="00CE1CFD"/>
    <w:rsid w:val="00CE4EFB"/>
    <w:rsid w:val="00D00308"/>
    <w:rsid w:val="00D02A3B"/>
    <w:rsid w:val="00D05922"/>
    <w:rsid w:val="00D2498D"/>
    <w:rsid w:val="00D24BEE"/>
    <w:rsid w:val="00D75093"/>
    <w:rsid w:val="00D82487"/>
    <w:rsid w:val="00D8370B"/>
    <w:rsid w:val="00D84533"/>
    <w:rsid w:val="00D97500"/>
    <w:rsid w:val="00DB774D"/>
    <w:rsid w:val="00DD498B"/>
    <w:rsid w:val="00E1215E"/>
    <w:rsid w:val="00E1283A"/>
    <w:rsid w:val="00E44A6E"/>
    <w:rsid w:val="00E555CF"/>
    <w:rsid w:val="00E6550D"/>
    <w:rsid w:val="00E67D43"/>
    <w:rsid w:val="00EA54B6"/>
    <w:rsid w:val="00EC6A22"/>
    <w:rsid w:val="00F23E24"/>
    <w:rsid w:val="00F309A8"/>
    <w:rsid w:val="00F32C1B"/>
    <w:rsid w:val="00F63768"/>
    <w:rsid w:val="00F72FD6"/>
    <w:rsid w:val="00F85F74"/>
    <w:rsid w:val="00F90EFD"/>
    <w:rsid w:val="00FB202F"/>
    <w:rsid w:val="00FE3A6B"/>
    <w:rsid w:val="00FE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74E55-7FE6-481B-A2C2-14AAC964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6E1"/>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7F56E1"/>
    <w:pPr>
      <w:keepNext/>
      <w:keepLines/>
      <w:numPr>
        <w:numId w:val="6"/>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7F56E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7F56E1"/>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7F56E1"/>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7F56E1"/>
    <w:pPr>
      <w:numPr>
        <w:ilvl w:val="4"/>
      </w:numPr>
      <w:tabs>
        <w:tab w:val="num" w:pos="643"/>
        <w:tab w:val="num" w:pos="720"/>
      </w:tabs>
      <w:outlineLvl w:val="4"/>
    </w:pPr>
    <w:rPr>
      <w:sz w:val="20"/>
    </w:rPr>
  </w:style>
  <w:style w:type="paragraph" w:styleId="Heading6">
    <w:name w:val="heading 6"/>
    <w:basedOn w:val="Normal"/>
    <w:next w:val="Normal"/>
    <w:link w:val="Heading6Char"/>
    <w:uiPriority w:val="99"/>
    <w:qFormat/>
    <w:rsid w:val="007F56E1"/>
    <w:pPr>
      <w:keepNext/>
      <w:keepLines/>
      <w:numPr>
        <w:ilvl w:val="5"/>
        <w:numId w:val="6"/>
      </w:numPr>
      <w:spacing w:before="120"/>
      <w:outlineLvl w:val="5"/>
    </w:pPr>
    <w:rPr>
      <w:rFonts w:ascii="Arial" w:hAnsi="Arial"/>
    </w:rPr>
  </w:style>
  <w:style w:type="paragraph" w:styleId="Heading7">
    <w:name w:val="heading 7"/>
    <w:basedOn w:val="Normal"/>
    <w:next w:val="Normal"/>
    <w:link w:val="Heading7Char"/>
    <w:uiPriority w:val="99"/>
    <w:qFormat/>
    <w:rsid w:val="007F56E1"/>
    <w:pPr>
      <w:keepNext/>
      <w:keepLines/>
      <w:numPr>
        <w:ilvl w:val="6"/>
        <w:numId w:val="6"/>
      </w:numPr>
      <w:spacing w:before="120"/>
      <w:outlineLvl w:val="6"/>
    </w:pPr>
    <w:rPr>
      <w:rFonts w:ascii="Arial" w:hAnsi="Arial"/>
    </w:rPr>
  </w:style>
  <w:style w:type="paragraph" w:styleId="Heading8">
    <w:name w:val="heading 8"/>
    <w:basedOn w:val="Heading1"/>
    <w:next w:val="Normal"/>
    <w:link w:val="Heading8Char"/>
    <w:uiPriority w:val="99"/>
    <w:qFormat/>
    <w:rsid w:val="007F56E1"/>
    <w:pPr>
      <w:numPr>
        <w:ilvl w:val="7"/>
      </w:numPr>
      <w:tabs>
        <w:tab w:val="num" w:pos="643"/>
      </w:tabs>
      <w:outlineLvl w:val="7"/>
    </w:pPr>
  </w:style>
  <w:style w:type="paragraph" w:styleId="Heading9">
    <w:name w:val="heading 9"/>
    <w:basedOn w:val="Heading8"/>
    <w:next w:val="Normal"/>
    <w:link w:val="Heading9Char"/>
    <w:uiPriority w:val="99"/>
    <w:qFormat/>
    <w:rsid w:val="007F56E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6">
    <w:name w:val="List Table 3 Accent 6"/>
    <w:basedOn w:val="TableNormal"/>
    <w:uiPriority w:val="48"/>
    <w:rsid w:val="00BE35C7"/>
    <w:pPr>
      <w:spacing w:after="0" w:line="240" w:lineRule="auto"/>
    </w:pPr>
    <w:rPr>
      <w:rFonts w:ascii="Intel Clear" w:hAnsi="Intel Clear"/>
      <w:sz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cPr>
      <w:shd w:val="clear" w:color="auto" w:fill="auto"/>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7F56E1"/>
    <w:rPr>
      <w:rFonts w:ascii="Arial" w:eastAsia="SimSu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rsid w:val="007F56E1"/>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9"/>
    <w:rsid w:val="007F56E1"/>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7F56E1"/>
    <w:rPr>
      <w:rFonts w:ascii="Arial" w:eastAsia="SimSun" w:hAnsi="Arial" w:cs="Times New Roman"/>
      <w:sz w:val="24"/>
      <w:szCs w:val="20"/>
      <w:lang w:val="en-GB" w:eastAsia="en-US"/>
    </w:rPr>
  </w:style>
  <w:style w:type="character" w:customStyle="1" w:styleId="Heading5Char">
    <w:name w:val="Heading 5 Char"/>
    <w:aliases w:val="h5 Char,Heading5 Char"/>
    <w:basedOn w:val="DefaultParagraphFont"/>
    <w:link w:val="Heading5"/>
    <w:uiPriority w:val="99"/>
    <w:rsid w:val="007F56E1"/>
    <w:rPr>
      <w:rFonts w:ascii="Arial" w:eastAsia="SimSun" w:hAnsi="Arial" w:cs="Times New Roman"/>
      <w:sz w:val="20"/>
      <w:szCs w:val="20"/>
      <w:lang w:val="en-GB" w:eastAsia="en-US"/>
    </w:rPr>
  </w:style>
  <w:style w:type="character" w:customStyle="1" w:styleId="Heading6Char">
    <w:name w:val="Heading 6 Char"/>
    <w:basedOn w:val="DefaultParagraphFont"/>
    <w:link w:val="Heading6"/>
    <w:uiPriority w:val="99"/>
    <w:rsid w:val="007F56E1"/>
    <w:rPr>
      <w:rFonts w:ascii="Arial" w:eastAsia="SimSun" w:hAnsi="Arial" w:cs="Times New Roman"/>
      <w:sz w:val="20"/>
      <w:szCs w:val="20"/>
      <w:lang w:val="en-GB" w:eastAsia="en-US"/>
    </w:rPr>
  </w:style>
  <w:style w:type="character" w:customStyle="1" w:styleId="Heading7Char">
    <w:name w:val="Heading 7 Char"/>
    <w:basedOn w:val="DefaultParagraphFont"/>
    <w:link w:val="Heading7"/>
    <w:uiPriority w:val="99"/>
    <w:rsid w:val="007F56E1"/>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7F56E1"/>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9"/>
    <w:rsid w:val="007F56E1"/>
    <w:rPr>
      <w:rFonts w:ascii="Arial" w:eastAsia="SimSun" w:hAnsi="Arial" w:cs="Times New Roman"/>
      <w:sz w:val="36"/>
      <w:szCs w:val="20"/>
      <w:lang w:val="en-GB" w:eastAsia="en-US"/>
    </w:rPr>
  </w:style>
  <w:style w:type="paragraph" w:customStyle="1" w:styleId="CRCoverPage">
    <w:name w:val="CR Cover Page"/>
    <w:link w:val="CRCoverPageChar"/>
    <w:rsid w:val="007F56E1"/>
    <w:pPr>
      <w:spacing w:after="120" w:line="240" w:lineRule="auto"/>
    </w:pPr>
    <w:rPr>
      <w:rFonts w:ascii="Arial" w:eastAsia="SimSun" w:hAnsi="Arial" w:cs="Times New Roman"/>
      <w:sz w:val="20"/>
      <w:szCs w:val="20"/>
      <w:lang w:val="en-GB" w:eastAsia="en-US"/>
    </w:rPr>
  </w:style>
  <w:style w:type="paragraph" w:styleId="Caption">
    <w:name w:val="caption"/>
    <w:aliases w:val="cap,cap Char,Caption Char1 Char,cap Char Char1,Caption Char Char1 Char,cap Char2"/>
    <w:basedOn w:val="Normal"/>
    <w:next w:val="Normal"/>
    <w:link w:val="CaptionChar"/>
    <w:uiPriority w:val="99"/>
    <w:qFormat/>
    <w:rsid w:val="007F56E1"/>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7F56E1"/>
    <w:rPr>
      <w:rFonts w:ascii="Times New Roman" w:eastAsia="SimSun" w:hAnsi="Times New Roman" w:cs="Times New Roman"/>
      <w:b/>
      <w:sz w:val="20"/>
      <w:szCs w:val="20"/>
      <w:lang w:val="sv-SE" w:eastAsia="ja-JP"/>
    </w:rPr>
  </w:style>
  <w:style w:type="paragraph" w:styleId="ListParagraph">
    <w:name w:val="List Paragraph"/>
    <w:aliases w:val="- Bullets,목록 단락,リスト段落,列出段落"/>
    <w:basedOn w:val="Normal"/>
    <w:link w:val="ListParagraphChar"/>
    <w:uiPriority w:val="34"/>
    <w:qFormat/>
    <w:rsid w:val="007F56E1"/>
    <w:pPr>
      <w:ind w:left="720"/>
      <w:contextualSpacing/>
    </w:pPr>
  </w:style>
  <w:style w:type="character" w:customStyle="1" w:styleId="CRCoverPageChar">
    <w:name w:val="CR Cover Page Char"/>
    <w:link w:val="CRCoverPage"/>
    <w:rsid w:val="007F56E1"/>
    <w:rPr>
      <w:rFonts w:ascii="Arial" w:eastAsia="SimSun" w:hAnsi="Arial" w:cs="Times New Roman"/>
      <w:sz w:val="20"/>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7F56E1"/>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30B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B51"/>
    <w:rPr>
      <w:rFonts w:ascii="Segoe UI" w:eastAsia="SimSun" w:hAnsi="Segoe UI" w:cs="Segoe UI"/>
      <w:sz w:val="18"/>
      <w:szCs w:val="18"/>
      <w:lang w:val="en-GB" w:eastAsia="en-US"/>
    </w:rPr>
  </w:style>
  <w:style w:type="table" w:styleId="TableGrid">
    <w:name w:val="Table Grid"/>
    <w:basedOn w:val="TableNormal"/>
    <w:uiPriority w:val="59"/>
    <w:rsid w:val="005D4201"/>
    <w:pPr>
      <w:spacing w:after="0" w:line="240" w:lineRule="auto"/>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BF649F"/>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B1Char">
    <w:name w:val="B1 Char"/>
    <w:link w:val="B1"/>
    <w:rsid w:val="00BF649F"/>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BF649F"/>
    <w:pPr>
      <w:ind w:left="360" w:hanging="360"/>
      <w:contextualSpacing/>
    </w:pPr>
  </w:style>
  <w:style w:type="paragraph" w:customStyle="1" w:styleId="TAC">
    <w:name w:val="TAC"/>
    <w:basedOn w:val="Normal"/>
    <w:link w:val="TACChar"/>
    <w:qFormat/>
    <w:rsid w:val="002515C6"/>
    <w:pPr>
      <w:keepNext/>
      <w:keepLines/>
      <w:overflowPunct w:val="0"/>
      <w:autoSpaceDE w:val="0"/>
      <w:autoSpaceDN w:val="0"/>
      <w:adjustRightInd w:val="0"/>
      <w:spacing w:after="0"/>
      <w:jc w:val="center"/>
      <w:textAlignment w:val="baseline"/>
    </w:pPr>
    <w:rPr>
      <w:rFonts w:ascii="Arial" w:eastAsia="Times New Roman" w:hAnsi="Arial"/>
      <w:sz w:val="18"/>
      <w:lang w:eastAsia="ko-KR"/>
    </w:rPr>
  </w:style>
  <w:style w:type="character" w:customStyle="1" w:styleId="TACChar">
    <w:name w:val="TAC Char"/>
    <w:link w:val="TAC"/>
    <w:rsid w:val="002515C6"/>
    <w:rPr>
      <w:rFonts w:ascii="Arial" w:eastAsia="Times New Roman" w:hAnsi="Arial" w:cs="Times New Roman"/>
      <w:sz w:val="18"/>
      <w:szCs w:val="20"/>
      <w:lang w:val="en-GB" w:eastAsia="ko-KR"/>
    </w:rPr>
  </w:style>
  <w:style w:type="paragraph" w:customStyle="1" w:styleId="TH">
    <w:name w:val="TH"/>
    <w:basedOn w:val="Normal"/>
    <w:link w:val="THChar"/>
    <w:qFormat/>
    <w:rsid w:val="002515C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2515C6"/>
    <w:rPr>
      <w:rFonts w:ascii="Arial" w:eastAsia="Times New Roman" w:hAnsi="Arial" w:cs="Times New Roman"/>
      <w:b/>
      <w:sz w:val="20"/>
      <w:szCs w:val="20"/>
      <w:lang w:val="en-GB" w:eastAsia="ko-KR"/>
    </w:rPr>
  </w:style>
  <w:style w:type="paragraph" w:customStyle="1" w:styleId="TAH">
    <w:name w:val="TAH"/>
    <w:basedOn w:val="TAC"/>
    <w:link w:val="TAHCar"/>
    <w:qFormat/>
    <w:rsid w:val="002515C6"/>
    <w:rPr>
      <w:b/>
    </w:rPr>
  </w:style>
  <w:style w:type="character" w:customStyle="1" w:styleId="TAHCar">
    <w:name w:val="TAH Car"/>
    <w:link w:val="TAH"/>
    <w:qFormat/>
    <w:rsid w:val="002515C6"/>
    <w:rPr>
      <w:rFonts w:ascii="Arial" w:eastAsia="Times New Roman" w:hAnsi="Arial" w:cs="Times New Roman"/>
      <w:b/>
      <w:sz w:val="18"/>
      <w:szCs w:val="20"/>
      <w:lang w:val="en-GB" w:eastAsia="ko-KR"/>
    </w:rPr>
  </w:style>
  <w:style w:type="paragraph" w:customStyle="1" w:styleId="TAN">
    <w:name w:val="TAN"/>
    <w:basedOn w:val="Normal"/>
    <w:link w:val="TANChar"/>
    <w:rsid w:val="002515C6"/>
    <w:pPr>
      <w:keepNext/>
      <w:keepLines/>
      <w:overflowPunct w:val="0"/>
      <w:autoSpaceDE w:val="0"/>
      <w:autoSpaceDN w:val="0"/>
      <w:adjustRightInd w:val="0"/>
      <w:spacing w:after="0"/>
      <w:ind w:left="851" w:hanging="851"/>
      <w:textAlignment w:val="baseline"/>
    </w:pPr>
    <w:rPr>
      <w:rFonts w:ascii="Arial" w:eastAsia="Times New Roman" w:hAnsi="Arial"/>
      <w:sz w:val="18"/>
      <w:lang w:eastAsia="ko-KR"/>
    </w:rPr>
  </w:style>
  <w:style w:type="character" w:customStyle="1" w:styleId="TANChar">
    <w:name w:val="TAN Char"/>
    <w:link w:val="TAN"/>
    <w:rsid w:val="002515C6"/>
    <w:rPr>
      <w:rFonts w:ascii="Arial" w:eastAsia="Times New Roman" w:hAnsi="Arial" w:cs="Times New Roman"/>
      <w:sz w:val="18"/>
      <w:szCs w:val="20"/>
      <w:lang w:val="en-GB" w:eastAsia="ko-KR"/>
    </w:rPr>
  </w:style>
  <w:style w:type="character" w:styleId="Hyperlink">
    <w:name w:val="Hyperlink"/>
    <w:uiPriority w:val="99"/>
    <w:unhideWhenUsed/>
    <w:rsid w:val="00EC6A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7953">
      <w:bodyDiv w:val="1"/>
      <w:marLeft w:val="0"/>
      <w:marRight w:val="0"/>
      <w:marTop w:val="0"/>
      <w:marBottom w:val="0"/>
      <w:divBdr>
        <w:top w:val="none" w:sz="0" w:space="0" w:color="auto"/>
        <w:left w:val="none" w:sz="0" w:space="0" w:color="auto"/>
        <w:bottom w:val="none" w:sz="0" w:space="0" w:color="auto"/>
        <w:right w:val="none" w:sz="0" w:space="0" w:color="auto"/>
      </w:divBdr>
    </w:div>
    <w:div w:id="358238860">
      <w:bodyDiv w:val="1"/>
      <w:marLeft w:val="0"/>
      <w:marRight w:val="0"/>
      <w:marTop w:val="0"/>
      <w:marBottom w:val="0"/>
      <w:divBdr>
        <w:top w:val="none" w:sz="0" w:space="0" w:color="auto"/>
        <w:left w:val="none" w:sz="0" w:space="0" w:color="auto"/>
        <w:bottom w:val="none" w:sz="0" w:space="0" w:color="auto"/>
        <w:right w:val="none" w:sz="0" w:space="0" w:color="auto"/>
      </w:divBdr>
    </w:div>
    <w:div w:id="424764455">
      <w:bodyDiv w:val="1"/>
      <w:marLeft w:val="0"/>
      <w:marRight w:val="0"/>
      <w:marTop w:val="0"/>
      <w:marBottom w:val="0"/>
      <w:divBdr>
        <w:top w:val="none" w:sz="0" w:space="0" w:color="auto"/>
        <w:left w:val="none" w:sz="0" w:space="0" w:color="auto"/>
        <w:bottom w:val="none" w:sz="0" w:space="0" w:color="auto"/>
        <w:right w:val="none" w:sz="0" w:space="0" w:color="auto"/>
      </w:divBdr>
    </w:div>
    <w:div w:id="461508651">
      <w:bodyDiv w:val="1"/>
      <w:marLeft w:val="0"/>
      <w:marRight w:val="0"/>
      <w:marTop w:val="0"/>
      <w:marBottom w:val="0"/>
      <w:divBdr>
        <w:top w:val="none" w:sz="0" w:space="0" w:color="auto"/>
        <w:left w:val="none" w:sz="0" w:space="0" w:color="auto"/>
        <w:bottom w:val="none" w:sz="0" w:space="0" w:color="auto"/>
        <w:right w:val="none" w:sz="0" w:space="0" w:color="auto"/>
      </w:divBdr>
    </w:div>
    <w:div w:id="1736010156">
      <w:bodyDiv w:val="1"/>
      <w:marLeft w:val="0"/>
      <w:marRight w:val="0"/>
      <w:marTop w:val="0"/>
      <w:marBottom w:val="0"/>
      <w:divBdr>
        <w:top w:val="none" w:sz="0" w:space="0" w:color="auto"/>
        <w:left w:val="none" w:sz="0" w:space="0" w:color="auto"/>
        <w:bottom w:val="none" w:sz="0" w:space="0" w:color="auto"/>
        <w:right w:val="none" w:sz="0" w:space="0" w:color="auto"/>
      </w:divBdr>
    </w:div>
    <w:div w:id="1870530105">
      <w:bodyDiv w:val="1"/>
      <w:marLeft w:val="0"/>
      <w:marRight w:val="0"/>
      <w:marTop w:val="0"/>
      <w:marBottom w:val="0"/>
      <w:divBdr>
        <w:top w:val="none" w:sz="0" w:space="0" w:color="auto"/>
        <w:left w:val="none" w:sz="0" w:space="0" w:color="auto"/>
        <w:bottom w:val="none" w:sz="0" w:space="0" w:color="auto"/>
        <w:right w:val="none" w:sz="0" w:space="0" w:color="auto"/>
      </w:divBdr>
    </w:div>
    <w:div w:id="1928683543">
      <w:bodyDiv w:val="1"/>
      <w:marLeft w:val="0"/>
      <w:marRight w:val="0"/>
      <w:marTop w:val="0"/>
      <w:marBottom w:val="0"/>
      <w:divBdr>
        <w:top w:val="none" w:sz="0" w:space="0" w:color="auto"/>
        <w:left w:val="none" w:sz="0" w:space="0" w:color="auto"/>
        <w:bottom w:val="none" w:sz="0" w:space="0" w:color="auto"/>
        <w:right w:val="none" w:sz="0" w:space="0" w:color="auto"/>
      </w:divBdr>
    </w:div>
    <w:div w:id="21194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2B681-D867-4EEE-980A-2A29E0D02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6449</TotalTime>
  <Pages>2</Pages>
  <Words>664</Words>
  <Characters>3225</Characters>
  <Application>Microsoft Office Word</Application>
  <DocSecurity>0</DocSecurity>
  <Lines>60</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78</cp:revision>
  <cp:lastPrinted>2018-05-14T18:28:00Z</cp:lastPrinted>
  <dcterms:created xsi:type="dcterms:W3CDTF">2018-06-21T21:13:00Z</dcterms:created>
  <dcterms:modified xsi:type="dcterms:W3CDTF">2019-05-03T17:37:00Z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1df16634-d7d8-476a-82c6-db11ad7baac4</vt:lpwstr>
  </property>
  <property fmtid="{D5CDD505-2E9C-101B-9397-08002B2CF9AE}" pid="3" name="CTP_TimeStamp">
    <vt:lpwstr>2019-05-03 17:37:22Z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